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63536">
      <w:pPr>
        <w:spacing w:after="0" w:line="360" w:lineRule="auto"/>
        <w:jc w:val="center"/>
        <w:rPr>
          <w:rFonts w:ascii="Times New Roman" w:hAnsi="Times New Roman" w:eastAsia="黑体" w:cs="Times New Roman"/>
          <w:b/>
          <w:bCs/>
          <w:color w:val="000000"/>
          <w:sz w:val="36"/>
          <w:szCs w:val="36"/>
          <w14:ligatures w14:val="none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  <w14:ligatures w14:val="none"/>
        </w:rPr>
        <w:t>江珧柱</w:t>
      </w:r>
    </w:p>
    <w:p w14:paraId="5BE940FE">
      <w:pPr>
        <w:spacing w:after="0" w:line="360" w:lineRule="auto"/>
        <w:jc w:val="center"/>
        <w:rPr>
          <w:rFonts w:hint="eastAsia" w:ascii="黑体" w:hAnsi="黑体" w:eastAsia="黑体" w:cs="Times New Roman"/>
          <w:color w:val="000000"/>
          <w:sz w:val="24"/>
          <w14:ligatures w14:val="none"/>
        </w:rPr>
      </w:pPr>
      <w:r>
        <w:rPr>
          <w:rFonts w:hint="eastAsia" w:ascii="黑体" w:hAnsi="黑体" w:eastAsia="黑体" w:cs="Times New Roman"/>
          <w:color w:val="000000"/>
          <w:sz w:val="24"/>
          <w14:ligatures w14:val="none"/>
        </w:rPr>
        <w:t>Jiangyaozhu</w:t>
      </w:r>
    </w:p>
    <w:p w14:paraId="1209DF6F">
      <w:pPr>
        <w:spacing w:after="0" w:line="360" w:lineRule="auto"/>
        <w:jc w:val="center"/>
        <w:rPr>
          <w:rFonts w:hint="default" w:ascii="Times New Roman" w:hAnsi="Times New Roman" w:eastAsia="黑体" w:cs="Times New Roman"/>
          <w:b/>
          <w:bCs/>
          <w:color w:val="000000"/>
          <w:sz w:val="28"/>
          <w:szCs w:val="28"/>
          <w:highlight w:val="none"/>
          <w:lang w:val="en-US" w:eastAsia="zh-CN"/>
          <w14:ligatures w14:val="none"/>
        </w:rPr>
      </w:pPr>
      <w:r>
        <w:rPr>
          <w:rFonts w:ascii="Times New Roman" w:hAnsi="Times New Roman" w:eastAsia="黑体" w:cs="Times New Roman"/>
          <w:b/>
          <w:bCs/>
          <w:color w:val="000000"/>
          <w:sz w:val="28"/>
          <w:szCs w:val="28"/>
          <w:highlight w:val="none"/>
          <w14:ligatures w14:val="none"/>
        </w:rPr>
        <w:t>A</w:t>
      </w:r>
      <w:r>
        <w:rPr>
          <w:rFonts w:hint="eastAsia" w:ascii="Times New Roman" w:hAnsi="Times New Roman" w:eastAsia="黑体" w:cs="Times New Roman"/>
          <w:b/>
          <w:bCs/>
          <w:color w:val="000000"/>
          <w:sz w:val="28"/>
          <w:szCs w:val="28"/>
          <w:highlight w:val="none"/>
          <w14:ligatures w14:val="none"/>
        </w:rPr>
        <w:t>TRINA</w:t>
      </w:r>
      <w:r>
        <w:rPr>
          <w:rFonts w:hint="eastAsia" w:ascii="Times New Roman" w:hAnsi="Times New Roman" w:eastAsia="黑体" w:cs="Times New Roman"/>
          <w:b/>
          <w:bCs/>
          <w:color w:val="000000"/>
          <w:sz w:val="28"/>
          <w:szCs w:val="28"/>
          <w:highlight w:val="none"/>
          <w:lang w:val="en-US" w:eastAsia="zh-CN"/>
          <w14:ligatures w14:val="none"/>
        </w:rPr>
        <w:t>E MUSCULUS</w:t>
      </w:r>
    </w:p>
    <w:p w14:paraId="1FAC4EF6">
      <w:pPr>
        <w:spacing w:after="0"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color w:val="000000"/>
          <w:szCs w:val="22"/>
          <w:lang w:val="en-US" w:eastAsia="zh-CN"/>
        </w:rPr>
      </w:pPr>
      <w:r>
        <w:rPr>
          <w:rFonts w:hint="eastAsia" w:ascii="宋体" w:hAnsi="宋体" w:eastAsia="宋体" w:cs="Times New Roman"/>
          <w:sz w:val="24"/>
        </w:rPr>
        <w:t xml:space="preserve">本品为江珧科动物栉江珧 </w:t>
      </w:r>
      <w:r>
        <w:rPr>
          <w:rFonts w:ascii="Times New Roman" w:hAnsi="Times New Roman" w:eastAsia="宋体" w:cs="Times New Roman"/>
          <w:i/>
          <w:iCs/>
          <w:sz w:val="24"/>
        </w:rPr>
        <w:t xml:space="preserve">Atrina pectinata </w:t>
      </w:r>
      <w:r>
        <w:rPr>
          <w:rFonts w:ascii="Times New Roman" w:hAnsi="Times New Roman" w:eastAsia="宋体" w:cs="Times New Roman"/>
          <w:i w:val="0"/>
          <w:iCs w:val="0"/>
          <w:sz w:val="24"/>
        </w:rPr>
        <w:t>(L.)</w:t>
      </w:r>
      <w:r>
        <w:rPr>
          <w:rFonts w:hint="eastAsia" w:ascii="宋体" w:hAnsi="宋体" w:eastAsia="宋体" w:cs="Times New Roman"/>
          <w:sz w:val="24"/>
        </w:rPr>
        <w:t>的干燥闭壳肌。</w:t>
      </w:r>
      <w:r>
        <w:rPr>
          <w:rFonts w:hint="eastAsia" w:ascii="宋体" w:hAnsi="宋体" w:eastAsia="宋体" w:cs="Times New Roman"/>
          <w:sz w:val="24"/>
          <w:lang w:val="en-US" w:eastAsia="zh-CN"/>
        </w:rPr>
        <w:t>取闭壳肌，干燥。</w:t>
      </w:r>
    </w:p>
    <w:p w14:paraId="3561D181">
      <w:pPr>
        <w:spacing w:after="0" w:line="360" w:lineRule="auto"/>
        <w:ind w:firstLine="480" w:firstLineChars="200"/>
        <w:jc w:val="both"/>
        <w:rPr>
          <w:rFonts w:ascii="Times New Roman" w:hAnsi="Times New Roman" w:eastAsia="宋体" w:cs="Times New Roman"/>
          <w:sz w:val="24"/>
        </w:rPr>
      </w:pPr>
      <w:r>
        <w:rPr>
          <w:rFonts w:hint="eastAsia" w:ascii="黑体" w:hAnsi="宋体" w:eastAsia="黑体"/>
          <w:b w:val="0"/>
          <w:bCs/>
          <w:kern w:val="0"/>
          <w:sz w:val="24"/>
          <w:lang w:val="zh-CN"/>
        </w:rPr>
        <w:t>【性状】</w:t>
      </w:r>
      <w:bookmarkStart w:id="0" w:name="OLE_LINK11"/>
      <w:r>
        <w:rPr>
          <w:rFonts w:hint="eastAsia" w:ascii="Times New Roman" w:hAnsi="Times New Roman" w:eastAsia="宋体" w:cs="Times New Roman"/>
          <w:sz w:val="24"/>
        </w:rPr>
        <w:t>本品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多</w:t>
      </w:r>
      <w:r>
        <w:rPr>
          <w:rFonts w:hint="eastAsia" w:ascii="Times New Roman" w:hAnsi="Times New Roman" w:eastAsia="宋体" w:cs="Times New Roman"/>
          <w:sz w:val="24"/>
        </w:rPr>
        <w:t>呈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类</w:t>
      </w:r>
      <w:r>
        <w:rPr>
          <w:rFonts w:hint="eastAsia" w:ascii="Times New Roman" w:hAnsi="Times New Roman" w:eastAsia="宋体" w:cs="Times New Roman"/>
          <w:sz w:val="24"/>
        </w:rPr>
        <w:t>圆柱状，直径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1～</w:t>
      </w:r>
      <w:r>
        <w:rPr>
          <w:rFonts w:hint="eastAsia" w:ascii="Times New Roman" w:hAnsi="Times New Roman" w:eastAsia="宋体" w:cs="Times New Roman"/>
          <w:sz w:val="24"/>
        </w:rPr>
        <w:t>3cm，表面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淡黄色</w:t>
      </w:r>
      <w:r>
        <w:rPr>
          <w:rFonts w:hint="eastAsia" w:ascii="Times New Roman" w:hAnsi="Times New Roman" w:eastAsia="宋体" w:cs="Times New Roman"/>
          <w:sz w:val="24"/>
        </w:rPr>
        <w:t>至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黄棕</w:t>
      </w:r>
      <w:r>
        <w:rPr>
          <w:rFonts w:hint="eastAsia" w:ascii="Times New Roman" w:hAnsi="Times New Roman" w:eastAsia="宋体" w:cs="Times New Roman"/>
          <w:sz w:val="24"/>
        </w:rPr>
        <w:t>色。质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坚韧</w:t>
      </w:r>
      <w:r>
        <w:rPr>
          <w:rFonts w:hint="eastAsia" w:ascii="Times New Roman" w:hAnsi="Times New Roman" w:eastAsia="宋体" w:cs="Times New Roman"/>
          <w:sz w:val="24"/>
        </w:rPr>
        <w:t>。气微腥，味微咸、甘</w:t>
      </w:r>
      <w:bookmarkEnd w:id="0"/>
      <w:r>
        <w:rPr>
          <w:rFonts w:hint="eastAsia" w:ascii="Times New Roman" w:hAnsi="Times New Roman" w:eastAsia="宋体" w:cs="Times New Roman"/>
          <w:sz w:val="24"/>
        </w:rPr>
        <w:t>。</w:t>
      </w:r>
    </w:p>
    <w:p w14:paraId="6532494B">
      <w:pPr>
        <w:spacing w:after="0" w:line="360" w:lineRule="auto"/>
        <w:ind w:firstLine="480" w:firstLineChars="200"/>
        <w:jc w:val="both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hint="eastAsia" w:ascii="黑体" w:hAnsi="宋体" w:eastAsia="黑体"/>
          <w:b w:val="0"/>
          <w:bCs/>
          <w:kern w:val="0"/>
          <w:sz w:val="24"/>
          <w:lang w:val="zh-CN"/>
        </w:rPr>
        <w:t>【鉴别】</w:t>
      </w:r>
      <w:r>
        <w:rPr>
          <w:rFonts w:hint="eastAsia" w:ascii="Times New Roman" w:hAnsi="Times New Roman" w:eastAsia="宋体" w:cs="Times New Roman"/>
          <w:sz w:val="24"/>
        </w:rPr>
        <w:t>取本品粉末</w:t>
      </w:r>
      <w:r>
        <w:rPr>
          <w:rFonts w:ascii="Times New Roman" w:hAnsi="Times New Roman" w:eastAsia="宋体" w:cs="Times New Roman"/>
          <w:sz w:val="24"/>
        </w:rPr>
        <w:t>1g</w:t>
      </w:r>
      <w:r>
        <w:rPr>
          <w:rFonts w:hint="eastAsia" w:ascii="Times New Roman" w:hAnsi="Times New Roman" w:eastAsia="宋体" w:cs="Times New Roman"/>
          <w:sz w:val="24"/>
        </w:rPr>
        <w:t>，加</w:t>
      </w:r>
      <w:r>
        <w:rPr>
          <w:rFonts w:ascii="Times New Roman" w:hAnsi="Times New Roman" w:eastAsia="宋体" w:cs="Times New Roman"/>
          <w:sz w:val="24"/>
        </w:rPr>
        <w:t>70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%</w:t>
      </w:r>
      <w:r>
        <w:rPr>
          <w:rFonts w:hint="eastAsia" w:ascii="Times New Roman" w:hAnsi="Times New Roman" w:eastAsia="宋体" w:cs="Times New Roman"/>
          <w:sz w:val="24"/>
        </w:rPr>
        <w:t>乙醇溶液</w:t>
      </w:r>
      <w:r>
        <w:rPr>
          <w:rFonts w:ascii="Times New Roman" w:hAnsi="Times New Roman" w:eastAsia="宋体" w:cs="Times New Roman"/>
          <w:sz w:val="24"/>
        </w:rPr>
        <w:t>50m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sz w:val="24"/>
        </w:rPr>
        <w:t>，超声</w:t>
      </w:r>
      <w:r>
        <w:rPr>
          <w:rFonts w:ascii="Times New Roman" w:hAnsi="Times New Roman" w:eastAsia="宋体" w:cs="Times New Roman"/>
          <w:sz w:val="24"/>
        </w:rPr>
        <w:t>30</w:t>
      </w:r>
      <w:r>
        <w:rPr>
          <w:rFonts w:hint="eastAsia" w:ascii="Times New Roman" w:hAnsi="Times New Roman" w:eastAsia="宋体" w:cs="Times New Roman"/>
          <w:sz w:val="24"/>
        </w:rPr>
        <w:t>分钟，滤过，滤液蒸干，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残渣</w:t>
      </w:r>
      <w:r>
        <w:rPr>
          <w:rFonts w:hint="eastAsia" w:ascii="Times New Roman" w:hAnsi="Times New Roman" w:eastAsia="宋体" w:cs="Times New Roman"/>
          <w:sz w:val="24"/>
        </w:rPr>
        <w:t>加</w:t>
      </w:r>
      <w:r>
        <w:rPr>
          <w:rFonts w:ascii="Times New Roman" w:hAnsi="Times New Roman" w:eastAsia="宋体" w:cs="Times New Roman"/>
          <w:sz w:val="24"/>
        </w:rPr>
        <w:t>20ml</w:t>
      </w:r>
      <w:r>
        <w:rPr>
          <w:rFonts w:hint="eastAsia" w:ascii="Times New Roman" w:hAnsi="Times New Roman" w:eastAsia="宋体" w:cs="Times New Roman"/>
          <w:sz w:val="24"/>
        </w:rPr>
        <w:t>甲醇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使</w:t>
      </w:r>
      <w:r>
        <w:rPr>
          <w:rFonts w:hint="eastAsia" w:ascii="Times New Roman" w:hAnsi="Times New Roman" w:eastAsia="宋体" w:cs="Times New Roman"/>
          <w:sz w:val="24"/>
        </w:rPr>
        <w:t>溶解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</w:rPr>
        <w:t>离心，取上清液作为供试品溶液。另取江珧柱对照药材</w:t>
      </w:r>
      <w:r>
        <w:rPr>
          <w:rFonts w:ascii="Times New Roman" w:hAnsi="Times New Roman" w:eastAsia="宋体" w:cs="Times New Roman"/>
          <w:sz w:val="24"/>
        </w:rPr>
        <w:t>1g</w:t>
      </w:r>
      <w:r>
        <w:rPr>
          <w:rFonts w:hint="eastAsia" w:ascii="Times New Roman" w:hAnsi="Times New Roman" w:eastAsia="宋体" w:cs="Times New Roman"/>
          <w:sz w:val="24"/>
        </w:rPr>
        <w:t>，同法制成对照药材溶液。照薄层色谱法（《中国药典》</w:t>
      </w:r>
      <w:r>
        <w:rPr>
          <w:rFonts w:ascii="Times New Roman" w:hAnsi="Times New Roman" w:eastAsia="宋体" w:cs="Times New Roman"/>
          <w:sz w:val="24"/>
        </w:rPr>
        <w:t>202</w:t>
      </w:r>
      <w:r>
        <w:rPr>
          <w:rFonts w:hint="eastAsia" w:ascii="Times New Roman" w:hAnsi="Times New Roman" w:eastAsia="宋体" w:cs="Times New Roman"/>
          <w:sz w:val="24"/>
        </w:rPr>
        <w:t>5年版通则</w:t>
      </w:r>
      <w:r>
        <w:rPr>
          <w:rFonts w:ascii="Times New Roman" w:hAnsi="Times New Roman" w:eastAsia="宋体" w:cs="Times New Roman"/>
          <w:sz w:val="24"/>
        </w:rPr>
        <w:t>0502</w:t>
      </w:r>
      <w:r>
        <w:rPr>
          <w:rFonts w:hint="eastAsia" w:ascii="Times New Roman" w:hAnsi="Times New Roman" w:eastAsia="宋体" w:cs="Times New Roman"/>
          <w:sz w:val="24"/>
        </w:rPr>
        <w:t>）试验，吸取上述两种溶液各</w:t>
      </w: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～</w:t>
      </w:r>
      <w:r>
        <w:rPr>
          <w:rFonts w:ascii="Times New Roman" w:hAnsi="Times New Roman" w:eastAsia="宋体" w:cs="Times New Roman"/>
          <w:sz w:val="24"/>
        </w:rPr>
        <w:t>4μ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sz w:val="24"/>
        </w:rPr>
        <w:t>，分别点于同一硅胶</w:t>
      </w:r>
      <w:r>
        <w:rPr>
          <w:rFonts w:ascii="Times New Roman" w:hAnsi="Times New Roman" w:eastAsia="宋体" w:cs="Times New Roman"/>
          <w:sz w:val="24"/>
        </w:rPr>
        <w:t>G</w:t>
      </w:r>
      <w:r>
        <w:rPr>
          <w:rFonts w:hint="eastAsia" w:ascii="Times New Roman" w:hAnsi="Times New Roman" w:eastAsia="宋体" w:cs="Times New Roman"/>
          <w:sz w:val="24"/>
        </w:rPr>
        <w:t>薄层板上，以正丁醇-甲醇-冰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醋</w:t>
      </w:r>
      <w:r>
        <w:rPr>
          <w:rFonts w:hint="eastAsia" w:ascii="Times New Roman" w:hAnsi="Times New Roman" w:eastAsia="宋体" w:cs="Times New Roman"/>
          <w:sz w:val="24"/>
        </w:rPr>
        <w:t>酸-水（</w:t>
      </w:r>
      <w:r>
        <w:rPr>
          <w:rFonts w:ascii="Times New Roman" w:hAnsi="Times New Roman" w:eastAsia="宋体" w:cs="Times New Roman"/>
          <w:sz w:val="24"/>
        </w:rPr>
        <w:t>8</w:t>
      </w:r>
      <w:r>
        <w:rPr>
          <w:rFonts w:hint="eastAsia" w:ascii="Times New Roman" w:hAnsi="Times New Roman" w:eastAsia="宋体" w:cs="Times New Roman"/>
          <w:sz w:val="24"/>
        </w:rPr>
        <w:t>: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4"/>
        </w:rPr>
        <w:t>: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4"/>
        </w:rPr>
        <w:t>:</w:t>
      </w:r>
      <w:r>
        <w:rPr>
          <w:rFonts w:ascii="Times New Roman" w:hAnsi="Times New Roman" w:eastAsia="宋体" w:cs="Times New Roman"/>
          <w:sz w:val="24"/>
        </w:rPr>
        <w:t>3</w:t>
      </w:r>
      <w:r>
        <w:rPr>
          <w:rFonts w:hint="eastAsia" w:ascii="Times New Roman" w:hAnsi="Times New Roman" w:eastAsia="宋体" w:cs="Times New Roman"/>
          <w:sz w:val="24"/>
        </w:rPr>
        <w:t>）为展开剂，展开，取出，晾干，喷以茚三酮试液，在</w:t>
      </w:r>
      <w:r>
        <w:rPr>
          <w:rFonts w:ascii="Times New Roman" w:hAnsi="Times New Roman" w:eastAsia="宋体" w:cs="Times New Roman"/>
          <w:sz w:val="24"/>
        </w:rPr>
        <w:t>105</w:t>
      </w:r>
      <w:r>
        <w:rPr>
          <w:rFonts w:hint="eastAsia" w:ascii="Times New Roman" w:hAnsi="Times New Roman" w:eastAsia="宋体" w:cs="Times New Roman"/>
          <w:sz w:val="24"/>
        </w:rPr>
        <w:t>℃加热至斑点显色清晰。供试品色谱中，在与对照药材色谱相应的位置上，显相同颜色的斑点。</w:t>
      </w:r>
    </w:p>
    <w:p w14:paraId="2333D1F5">
      <w:pPr>
        <w:spacing w:after="0" w:line="360" w:lineRule="auto"/>
        <w:ind w:firstLine="470" w:firstLineChars="196"/>
        <w:jc w:val="both"/>
        <w:rPr>
          <w:rFonts w:ascii="Times New Roman" w:hAnsi="Times New Roman" w:eastAsia="宋体" w:cs="Times New Roman"/>
          <w:kern w:val="0"/>
          <w:sz w:val="24"/>
        </w:rPr>
      </w:pPr>
      <w:r>
        <w:rPr>
          <w:rFonts w:hint="eastAsia" w:ascii="黑体" w:hAnsi="宋体" w:eastAsia="黑体"/>
          <w:b w:val="0"/>
          <w:bCs/>
          <w:kern w:val="0"/>
          <w:sz w:val="24"/>
          <w:highlight w:val="none"/>
          <w:lang w:val="zh-CN"/>
        </w:rPr>
        <w:t xml:space="preserve">【检查】水分 </w:t>
      </w:r>
      <w:r>
        <w:rPr>
          <w:rFonts w:hint="eastAsia" w:ascii="黑体" w:hAnsi="宋体" w:eastAsia="黑体"/>
          <w:b w:val="0"/>
          <w:bCs/>
          <w:kern w:val="0"/>
          <w:sz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szCs w:val="22"/>
          <w:highlight w:val="none"/>
          <w14:ligatures w14:val="none"/>
        </w:rPr>
        <w:t>不得过</w:t>
      </w:r>
      <w:r>
        <w:rPr>
          <w:rFonts w:hint="eastAsia" w:ascii="Times New Roman" w:hAnsi="Times New Roman" w:eastAsia="宋体" w:cs="Times New Roman"/>
          <w:sz w:val="24"/>
          <w:highlight w:val="none"/>
          <w:lang w:eastAsia="zh-CN"/>
        </w:rPr>
        <w:t>2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.0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%</w:t>
      </w:r>
      <w:r>
        <w:rPr>
          <w:rFonts w:ascii="Times New Roman" w:hAnsi="Times New Roman" w:eastAsia="宋体" w:cs="Times New Roman"/>
          <w:color w:val="000000"/>
          <w:sz w:val="24"/>
          <w:szCs w:val="22"/>
          <w:highlight w:val="none"/>
          <w14:ligatures w14:val="none"/>
        </w:rPr>
        <w:t>（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《中国药典》</w:t>
      </w:r>
      <w:r>
        <w:rPr>
          <w:rFonts w:ascii="Times New Roman" w:hAnsi="Times New Roman" w:eastAsia="宋体" w:cs="Times New Roman"/>
          <w:sz w:val="24"/>
          <w:highlight w:val="none"/>
        </w:rPr>
        <w:t>202</w:t>
      </w:r>
      <w:r>
        <w:rPr>
          <w:rFonts w:hint="eastAsia" w:ascii="Times New Roman" w:hAnsi="Times New Roman" w:eastAsia="宋体" w:cs="Times New Roman"/>
          <w:sz w:val="24"/>
          <w:highlight w:val="none"/>
        </w:rPr>
        <w:t>5</w:t>
      </w:r>
      <w:r>
        <w:rPr>
          <w:rFonts w:ascii="Times New Roman" w:hAnsi="Times New Roman" w:eastAsia="宋体" w:cs="Times New Roman"/>
          <w:color w:val="000000"/>
          <w:sz w:val="24"/>
          <w:szCs w:val="22"/>
          <w:highlight w:val="none"/>
          <w14:ligatures w14:val="none"/>
        </w:rPr>
        <w:t>年版通则0832第二法）</w:t>
      </w:r>
      <w:r>
        <w:rPr>
          <w:rFonts w:ascii="Times New Roman" w:hAnsi="Calibri" w:eastAsia="宋体" w:cs="Times New Roman"/>
          <w:color w:val="000000"/>
          <w:sz w:val="24"/>
          <w:szCs w:val="22"/>
          <w:highlight w:val="none"/>
          <w14:ligatures w14:val="none"/>
        </w:rPr>
        <w:t>。</w:t>
      </w:r>
      <w:r>
        <w:rPr>
          <w:rFonts w:ascii="Times New Roman" w:hAnsi="Times New Roman" w:eastAsia="黑体" w:cs="Times New Roman"/>
          <w:color w:val="000000"/>
          <w:sz w:val="24"/>
          <w:szCs w:val="24"/>
        </w:rPr>
        <w:t>【性味与归经】</w:t>
      </w:r>
      <w:r>
        <w:rPr>
          <w:rFonts w:hint="eastAsia" w:ascii="Times New Roman" w:hAnsi="Times New Roman" w:eastAsia="宋体" w:cs="Times New Roman"/>
          <w:kern w:val="0"/>
          <w:sz w:val="24"/>
        </w:rPr>
        <w:t>咸、甘、平。</w:t>
      </w:r>
      <w:r>
        <w:rPr>
          <w:rFonts w:hint="eastAsia" w:ascii="Times New Roman" w:hAnsi="Times New Roman" w:eastAsia="宋体" w:cs="Times New Roman"/>
          <w:kern w:val="0"/>
          <w:sz w:val="24"/>
        </w:rPr>
        <w:t>归</w:t>
      </w:r>
      <w:r>
        <w:rPr>
          <w:rFonts w:hint="eastAsia" w:ascii="Times New Roman" w:hAnsi="Times New Roman" w:eastAsia="宋体" w:cs="Times New Roman"/>
          <w:kern w:val="0"/>
          <w:sz w:val="24"/>
          <w:lang w:val="en-US" w:eastAsia="zh-CN"/>
        </w:rPr>
        <w:t>肝、</w:t>
      </w:r>
      <w:r>
        <w:rPr>
          <w:rFonts w:hint="eastAsia" w:ascii="Times New Roman" w:hAnsi="Times New Roman" w:eastAsia="宋体" w:cs="Times New Roman"/>
          <w:kern w:val="0"/>
          <w:sz w:val="24"/>
        </w:rPr>
        <w:t>脾、肾经</w:t>
      </w:r>
      <w:r>
        <w:rPr>
          <w:rFonts w:hint="eastAsia" w:ascii="Times New Roman" w:hAnsi="Times New Roman" w:eastAsia="宋体" w:cs="Times New Roman"/>
          <w:kern w:val="0"/>
          <w:sz w:val="24"/>
        </w:rPr>
        <w:t>。</w:t>
      </w:r>
    </w:p>
    <w:p w14:paraId="160A66C5">
      <w:pPr>
        <w:spacing w:after="0" w:line="360" w:lineRule="auto"/>
        <w:ind w:firstLine="480"/>
        <w:jc w:val="both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宋体" w:hAnsi="宋体" w:eastAsia="宋体"/>
          <w:sz w:val="24"/>
        </w:rPr>
        <w:t>滋阴补肾，</w:t>
      </w:r>
      <w:r>
        <w:rPr>
          <w:rFonts w:hint="eastAsia" w:ascii="宋体" w:hAnsi="宋体" w:eastAsia="宋体"/>
          <w:sz w:val="24"/>
          <w:lang w:val="en-US" w:eastAsia="zh-CN"/>
        </w:rPr>
        <w:t>养肝柔肝</w:t>
      </w:r>
      <w:r>
        <w:rPr>
          <w:rFonts w:hint="eastAsia" w:ascii="宋体" w:hAnsi="宋体" w:eastAsia="宋体"/>
          <w:sz w:val="24"/>
        </w:rPr>
        <w:t>，消食</w:t>
      </w:r>
      <w:r>
        <w:rPr>
          <w:rFonts w:hint="eastAsia" w:ascii="宋体" w:hAnsi="宋体" w:eastAsia="宋体"/>
          <w:sz w:val="24"/>
          <w:lang w:val="en-US" w:eastAsia="zh-CN"/>
        </w:rPr>
        <w:t>健胃</w:t>
      </w:r>
      <w:r>
        <w:rPr>
          <w:rFonts w:hint="eastAsia" w:ascii="宋体" w:hAnsi="宋体" w:eastAsia="宋体"/>
          <w:sz w:val="24"/>
          <w:lang w:eastAsia="zh-CN"/>
        </w:rPr>
        <w:t>。</w:t>
      </w:r>
      <w:r>
        <w:rPr>
          <w:rFonts w:hint="eastAsia" w:ascii="宋体" w:hAnsi="宋体" w:eastAsia="宋体"/>
          <w:sz w:val="24"/>
        </w:rPr>
        <w:t>用于</w:t>
      </w:r>
      <w:r>
        <w:rPr>
          <w:rFonts w:hint="eastAsia" w:ascii="宋体" w:hAnsi="宋体" w:eastAsia="宋体"/>
          <w:sz w:val="24"/>
          <w:lang w:val="en-US" w:eastAsia="zh-CN"/>
        </w:rPr>
        <w:t>腰膝酸软，神疲乏力，夜尿频数，</w:t>
      </w:r>
      <w:r>
        <w:rPr>
          <w:rFonts w:hint="eastAsia" w:ascii="宋体" w:hAnsi="宋体" w:eastAsia="宋体"/>
          <w:sz w:val="24"/>
        </w:rPr>
        <w:t>消渴，头晕目眩，食欲不振，</w:t>
      </w:r>
      <w:r>
        <w:rPr>
          <w:rFonts w:hint="eastAsia" w:ascii="宋体" w:hAnsi="宋体" w:eastAsia="宋体"/>
          <w:sz w:val="24"/>
          <w:lang w:val="en-US" w:eastAsia="zh-CN"/>
        </w:rPr>
        <w:t>食积不化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526A6D24">
      <w:pPr>
        <w:spacing w:after="0" w:line="360" w:lineRule="auto"/>
        <w:ind w:firstLine="480"/>
        <w:jc w:val="both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</w:rPr>
        <w:t>15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</w:rPr>
        <w:t>30</w:t>
      </w:r>
      <w:bookmarkStart w:id="1" w:name="_GoBack"/>
      <w:bookmarkEnd w:id="1"/>
      <w:r>
        <w:rPr>
          <w:rFonts w:hint="eastAsia" w:ascii="Times New Roman" w:hAnsi="Times New Roman" w:eastAsia="宋体" w:cs="Times New Roman"/>
          <w:color w:val="000000"/>
          <w:sz w:val="24"/>
        </w:rPr>
        <w:t>g</w:t>
      </w:r>
      <w:r>
        <w:rPr>
          <w:rFonts w:ascii="Times New Roman" w:hAnsi="Calibri" w:eastAsia="宋体" w:cs="Times New Roman"/>
          <w:color w:val="000000"/>
          <w:sz w:val="24"/>
        </w:rPr>
        <w:t>。</w:t>
      </w:r>
    </w:p>
    <w:p w14:paraId="203EC42F">
      <w:pPr>
        <w:spacing w:after="0" w:line="360" w:lineRule="auto"/>
        <w:ind w:firstLine="480"/>
        <w:jc w:val="both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注意</w:t>
      </w:r>
      <w:r>
        <w:rPr>
          <w:rFonts w:ascii="Times New Roman" w:hAnsi="Times New Roman" w:eastAsia="黑体" w:cs="Times New Roman"/>
          <w:color w:val="000000"/>
          <w:sz w:val="24"/>
        </w:rPr>
        <w:t>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鱼、虾、蟹过敏者慎用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。</w:t>
      </w:r>
    </w:p>
    <w:p w14:paraId="207FC9C2">
      <w:pPr>
        <w:spacing w:after="0" w:line="360" w:lineRule="auto"/>
        <w:ind w:firstLine="470" w:firstLineChars="196"/>
        <w:jc w:val="both"/>
        <w:rPr>
          <w:rFonts w:hint="eastAsia" w:ascii="Times New Roman" w:hAnsi="Calibri" w:eastAsia="宋体" w:cs="Times New Roman"/>
          <w:color w:val="000000"/>
          <w:sz w:val="24"/>
        </w:rPr>
      </w:pPr>
      <w:r>
        <w:rPr>
          <w:rFonts w:hint="eastAsia" w:ascii="黑体" w:hAnsi="宋体" w:eastAsia="黑体"/>
          <w:b w:val="0"/>
          <w:bCs/>
          <w:kern w:val="0"/>
          <w:sz w:val="24"/>
          <w:lang w:val="zh-CN"/>
        </w:rPr>
        <w:t>【贮藏】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282"/>
    <w:rsid w:val="00050394"/>
    <w:rsid w:val="00081974"/>
    <w:rsid w:val="00083B65"/>
    <w:rsid w:val="000A6C32"/>
    <w:rsid w:val="000B03BD"/>
    <w:rsid w:val="000B1280"/>
    <w:rsid w:val="000C2C56"/>
    <w:rsid w:val="000C41FA"/>
    <w:rsid w:val="000F7979"/>
    <w:rsid w:val="0010787F"/>
    <w:rsid w:val="0011375F"/>
    <w:rsid w:val="00120C27"/>
    <w:rsid w:val="0013547B"/>
    <w:rsid w:val="001403AF"/>
    <w:rsid w:val="001420F7"/>
    <w:rsid w:val="0014460B"/>
    <w:rsid w:val="00180282"/>
    <w:rsid w:val="001970B4"/>
    <w:rsid w:val="001A05C9"/>
    <w:rsid w:val="001E1DC7"/>
    <w:rsid w:val="001F3A1A"/>
    <w:rsid w:val="00205361"/>
    <w:rsid w:val="00211E82"/>
    <w:rsid w:val="0021710A"/>
    <w:rsid w:val="00233F22"/>
    <w:rsid w:val="00237FD3"/>
    <w:rsid w:val="00243E97"/>
    <w:rsid w:val="00292248"/>
    <w:rsid w:val="002B23C6"/>
    <w:rsid w:val="002B3784"/>
    <w:rsid w:val="002D1256"/>
    <w:rsid w:val="00333971"/>
    <w:rsid w:val="00351AED"/>
    <w:rsid w:val="00367490"/>
    <w:rsid w:val="00396B50"/>
    <w:rsid w:val="00410B65"/>
    <w:rsid w:val="004779BA"/>
    <w:rsid w:val="004B6313"/>
    <w:rsid w:val="004C2EAB"/>
    <w:rsid w:val="004C66CF"/>
    <w:rsid w:val="004C7E4D"/>
    <w:rsid w:val="004F2F0E"/>
    <w:rsid w:val="00513D78"/>
    <w:rsid w:val="00515EF5"/>
    <w:rsid w:val="005275CC"/>
    <w:rsid w:val="005360BA"/>
    <w:rsid w:val="0055486F"/>
    <w:rsid w:val="0057658F"/>
    <w:rsid w:val="005813AE"/>
    <w:rsid w:val="00594CEC"/>
    <w:rsid w:val="005D00B1"/>
    <w:rsid w:val="005D7B4B"/>
    <w:rsid w:val="005F3A87"/>
    <w:rsid w:val="00617E6C"/>
    <w:rsid w:val="00663696"/>
    <w:rsid w:val="006B5E0C"/>
    <w:rsid w:val="00701215"/>
    <w:rsid w:val="00732FDD"/>
    <w:rsid w:val="00735F6E"/>
    <w:rsid w:val="00760901"/>
    <w:rsid w:val="00777669"/>
    <w:rsid w:val="007940B3"/>
    <w:rsid w:val="007C49A7"/>
    <w:rsid w:val="007E7108"/>
    <w:rsid w:val="0081680F"/>
    <w:rsid w:val="00835C42"/>
    <w:rsid w:val="0088479D"/>
    <w:rsid w:val="008D1B33"/>
    <w:rsid w:val="008D26D8"/>
    <w:rsid w:val="00915079"/>
    <w:rsid w:val="00923622"/>
    <w:rsid w:val="009600E3"/>
    <w:rsid w:val="00962D27"/>
    <w:rsid w:val="00982EF1"/>
    <w:rsid w:val="009925D6"/>
    <w:rsid w:val="009D2D7E"/>
    <w:rsid w:val="009F703C"/>
    <w:rsid w:val="00A319C8"/>
    <w:rsid w:val="00A610C9"/>
    <w:rsid w:val="00A64BC3"/>
    <w:rsid w:val="00A6571F"/>
    <w:rsid w:val="00A72A80"/>
    <w:rsid w:val="00A932D2"/>
    <w:rsid w:val="00AB66B6"/>
    <w:rsid w:val="00AD7506"/>
    <w:rsid w:val="00AD755F"/>
    <w:rsid w:val="00B25753"/>
    <w:rsid w:val="00B42538"/>
    <w:rsid w:val="00B54742"/>
    <w:rsid w:val="00B62037"/>
    <w:rsid w:val="00B67FF5"/>
    <w:rsid w:val="00B77D58"/>
    <w:rsid w:val="00B841D7"/>
    <w:rsid w:val="00C015FF"/>
    <w:rsid w:val="00C71B3F"/>
    <w:rsid w:val="00C83D3B"/>
    <w:rsid w:val="00CF3032"/>
    <w:rsid w:val="00D057D2"/>
    <w:rsid w:val="00D05FF6"/>
    <w:rsid w:val="00D24544"/>
    <w:rsid w:val="00D669D3"/>
    <w:rsid w:val="00D74BD5"/>
    <w:rsid w:val="00DA1DE6"/>
    <w:rsid w:val="00DC53F0"/>
    <w:rsid w:val="00DD2478"/>
    <w:rsid w:val="00DF33C1"/>
    <w:rsid w:val="00E63464"/>
    <w:rsid w:val="00E716F8"/>
    <w:rsid w:val="00E733BF"/>
    <w:rsid w:val="00E810E4"/>
    <w:rsid w:val="00E81F17"/>
    <w:rsid w:val="00EA177E"/>
    <w:rsid w:val="00EA1A07"/>
    <w:rsid w:val="00EA33AE"/>
    <w:rsid w:val="00EB2E40"/>
    <w:rsid w:val="00EC2EB8"/>
    <w:rsid w:val="00EC2FE2"/>
    <w:rsid w:val="00ED770E"/>
    <w:rsid w:val="00F04746"/>
    <w:rsid w:val="00F4463A"/>
    <w:rsid w:val="00F833DA"/>
    <w:rsid w:val="00FA2AF0"/>
    <w:rsid w:val="00FB4AE3"/>
    <w:rsid w:val="00FB7292"/>
    <w:rsid w:val="00FF39DD"/>
    <w:rsid w:val="03065425"/>
    <w:rsid w:val="0B5D46E8"/>
    <w:rsid w:val="0C0044A7"/>
    <w:rsid w:val="14C10B1B"/>
    <w:rsid w:val="264E5D27"/>
    <w:rsid w:val="2B9D6E18"/>
    <w:rsid w:val="3D250CFA"/>
    <w:rsid w:val="44E73B15"/>
    <w:rsid w:val="538C16FE"/>
    <w:rsid w:val="59A444A8"/>
    <w:rsid w:val="62BE1BC5"/>
    <w:rsid w:val="62ED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1"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1"/>
      <w:szCs w:val="20"/>
      <w14:ligatures w14:val="none"/>
    </w:rPr>
  </w:style>
  <w:style w:type="paragraph" w:styleId="12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3">
    <w:name w:val="head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HTML Preformatted"/>
    <w:basedOn w:val="1"/>
    <w:link w:val="42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paragraph" w:styleId="16">
    <w:name w:val="Title"/>
    <w:basedOn w:val="1"/>
    <w:next w:val="1"/>
    <w:link w:val="30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7">
    <w:name w:val="annotation subject"/>
    <w:basedOn w:val="11"/>
    <w:next w:val="11"/>
    <w:link w:val="43"/>
    <w:semiHidden/>
    <w:unhideWhenUsed/>
    <w:qFormat/>
    <w:uiPriority w:val="99"/>
    <w:pPr>
      <w:spacing w:after="160" w:line="278" w:lineRule="auto"/>
    </w:pPr>
    <w:rPr>
      <w:rFonts w:asciiTheme="minorHAnsi" w:hAnsiTheme="minorHAnsi" w:eastAsiaTheme="minorEastAsia" w:cstheme="minorBidi"/>
      <w:b/>
      <w:bCs/>
      <w:sz w:val="22"/>
      <w:szCs w:val="24"/>
      <w14:ligatures w14:val="standardContextual"/>
    </w:rPr>
  </w:style>
  <w:style w:type="character" w:styleId="20">
    <w:name w:val="annotation reference"/>
    <w:basedOn w:val="19"/>
    <w:semiHidden/>
    <w:unhideWhenUsed/>
    <w:qFormat/>
    <w:uiPriority w:val="99"/>
    <w:rPr>
      <w:sz w:val="21"/>
      <w:szCs w:val="21"/>
    </w:rPr>
  </w:style>
  <w:style w:type="character" w:customStyle="1" w:styleId="21">
    <w:name w:val="标题 2 字符"/>
    <w:basedOn w:val="19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2">
    <w:name w:val="标题 1 字符"/>
    <w:basedOn w:val="19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3">
    <w:name w:val="标题 3 字符"/>
    <w:basedOn w:val="19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4">
    <w:name w:val="标题 4 字符"/>
    <w:basedOn w:val="19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5">
    <w:name w:val="标题 5 字符"/>
    <w:basedOn w:val="19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6">
    <w:name w:val="标题 6 字符"/>
    <w:basedOn w:val="19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7">
    <w:name w:val="标题 7 字符"/>
    <w:basedOn w:val="19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8 字符"/>
    <w:basedOn w:val="19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9 字符"/>
    <w:basedOn w:val="19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字符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1">
    <w:name w:val="副标题 字符"/>
    <w:basedOn w:val="19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2">
    <w:name w:val="Quote"/>
    <w:basedOn w:val="1"/>
    <w:next w:val="1"/>
    <w:link w:val="33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3">
    <w:name w:val="引用 字符"/>
    <w:basedOn w:val="19"/>
    <w:link w:val="32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4">
    <w:name w:val="List Paragraph"/>
    <w:basedOn w:val="1"/>
    <w:qFormat/>
    <w:uiPriority w:val="34"/>
    <w:pPr>
      <w:ind w:left="720"/>
      <w:contextualSpacing/>
    </w:pPr>
  </w:style>
  <w:style w:type="character" w:customStyle="1" w:styleId="35">
    <w:name w:val="Intense Emphasis"/>
    <w:basedOn w:val="19"/>
    <w:qFormat/>
    <w:uiPriority w:val="21"/>
    <w:rPr>
      <w:i/>
      <w:iCs/>
      <w:color w:val="2F5597" w:themeColor="accent1" w:themeShade="BF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7">
    <w:name w:val="明显引用 字符"/>
    <w:basedOn w:val="19"/>
    <w:link w:val="36"/>
    <w:qFormat/>
    <w:uiPriority w:val="30"/>
    <w:rPr>
      <w:i/>
      <w:iCs/>
      <w:color w:val="2F5597" w:themeColor="accent1" w:themeShade="BF"/>
    </w:rPr>
  </w:style>
  <w:style w:type="character" w:customStyle="1" w:styleId="38">
    <w:name w:val="Intense Reference"/>
    <w:basedOn w:val="19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9">
    <w:name w:val="页眉 字符"/>
    <w:basedOn w:val="19"/>
    <w:link w:val="13"/>
    <w:qFormat/>
    <w:uiPriority w:val="99"/>
    <w:rPr>
      <w:sz w:val="18"/>
      <w:szCs w:val="18"/>
    </w:rPr>
  </w:style>
  <w:style w:type="character" w:customStyle="1" w:styleId="40">
    <w:name w:val="页脚 字符"/>
    <w:basedOn w:val="19"/>
    <w:link w:val="12"/>
    <w:qFormat/>
    <w:uiPriority w:val="99"/>
    <w:rPr>
      <w:sz w:val="18"/>
      <w:szCs w:val="18"/>
    </w:rPr>
  </w:style>
  <w:style w:type="character" w:customStyle="1" w:styleId="41">
    <w:name w:val="批注文字 字符"/>
    <w:basedOn w:val="19"/>
    <w:link w:val="11"/>
    <w:qFormat/>
    <w:uiPriority w:val="99"/>
    <w:rPr>
      <w:rFonts w:ascii="Times New Roman" w:hAnsi="Times New Roman" w:eastAsia="宋体" w:cs="Times New Roman"/>
      <w:sz w:val="21"/>
      <w:szCs w:val="20"/>
      <w14:ligatures w14:val="none"/>
    </w:rPr>
  </w:style>
  <w:style w:type="character" w:customStyle="1" w:styleId="42">
    <w:name w:val="HTML 预设格式 字符"/>
    <w:basedOn w:val="19"/>
    <w:link w:val="15"/>
    <w:semiHidden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43">
    <w:name w:val="批注主题 字符"/>
    <w:basedOn w:val="41"/>
    <w:link w:val="17"/>
    <w:semiHidden/>
    <w:qFormat/>
    <w:uiPriority w:val="99"/>
    <w:rPr>
      <w:rFonts w:ascii="Times New Roman" w:hAnsi="Times New Roman" w:eastAsia="宋体" w:cs="Times New Roman"/>
      <w:b/>
      <w:bCs/>
      <w:sz w:val="21"/>
      <w:szCs w:val="2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548</Words>
  <Characters>650</Characters>
  <Lines>19</Lines>
  <Paragraphs>5</Paragraphs>
  <TotalTime>0</TotalTime>
  <ScaleCrop>false</ScaleCrop>
  <LinksUpToDate>false</LinksUpToDate>
  <CharactersWithSpaces>660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2025-09-16T09:31:00Z</dcterms:created>
  <dc:creator>雪莲 覃</dc:creator>
  <cp:lastModifiedBy>木木</cp:lastModifiedBy>
  <dcterms:modified xsi:type="dcterms:W3CDTF">2025-11-22T04:22:28Z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2052-12.1.0.23542</vt:lpwstr>
  </property>
  <property fmtid="{D5CDD505-2E9C-101B-9397-08002B2CF9AE}" pid="4" name="ICV">
    <vt:lpwstr>1ECBF1B0B10B40F394EC37CA883945CC_13</vt:lpwstr>
  </property>
</Properties>
</file>